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0F3F7" w14:textId="77777777" w:rsidR="0032665F" w:rsidRPr="0032665F" w:rsidRDefault="0032665F" w:rsidP="0032665F">
      <w:pPr>
        <w:shd w:val="clear" w:color="auto" w:fill="FFFFFF"/>
        <w:outlineLvl w:val="0"/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</w:pPr>
      <w:r w:rsidRPr="0032665F">
        <w:rPr>
          <w:rFonts w:eastAsia="Times New Roman" w:cstheme="minorHAnsi"/>
          <w:b/>
          <w:bCs/>
          <w:color w:val="000000" w:themeColor="text1"/>
          <w:kern w:val="36"/>
          <w:sz w:val="28"/>
          <w:szCs w:val="28"/>
          <w:lang w:eastAsia="fr-FR"/>
        </w:rPr>
        <w:t>VDM vent debout contre les propositions du LME</w:t>
      </w:r>
    </w:p>
    <w:p w14:paraId="3B427873" w14:textId="77777777" w:rsidR="0032665F" w:rsidRPr="006F3CC4" w:rsidRDefault="0032665F" w:rsidP="0032665F">
      <w:pPr>
        <w:rPr>
          <w:rFonts w:eastAsia="Times New Roman" w:cstheme="minorHAnsi"/>
          <w:color w:val="000000" w:themeColor="text1"/>
          <w:lang w:eastAsia="fr-FR"/>
        </w:rPr>
      </w:pPr>
    </w:p>
    <w:p w14:paraId="4CA1F192" w14:textId="7D97952A" w:rsidR="0032665F" w:rsidRPr="0032665F" w:rsidRDefault="0032665F" w:rsidP="0032665F">
      <w:pPr>
        <w:rPr>
          <w:rFonts w:eastAsia="Times New Roman" w:cstheme="minorHAnsi"/>
          <w:color w:val="000000" w:themeColor="text1"/>
          <w:lang w:eastAsia="fr-FR"/>
        </w:rPr>
      </w:pPr>
      <w:r w:rsidRPr="0032665F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 xml:space="preserve">L’Association allemande des métaux non-ferreux, </w:t>
      </w:r>
      <w:proofErr w:type="spellStart"/>
      <w:r w:rsidRPr="0032665F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>Verband</w:t>
      </w:r>
      <w:proofErr w:type="spellEnd"/>
      <w:r w:rsidRPr="0032665F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 xml:space="preserve"> Deutscher </w:t>
      </w:r>
      <w:proofErr w:type="spellStart"/>
      <w:r w:rsidRPr="0032665F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>Metallhändler</w:t>
      </w:r>
      <w:proofErr w:type="spellEnd"/>
      <w:r w:rsidRPr="0032665F">
        <w:rPr>
          <w:rFonts w:eastAsia="Times New Roman" w:cstheme="minorHAnsi"/>
          <w:color w:val="000000" w:themeColor="text1"/>
          <w:shd w:val="clear" w:color="auto" w:fill="FFFFFF"/>
          <w:lang w:eastAsia="fr-FR"/>
        </w:rPr>
        <w:t xml:space="preserve"> (VDM) estime que la bourse de Londres trahirait sa mission de service auprès du marché physique si elle mettait à exécution ses propositions de réforme, à savoir : fermer le ring, augmenter les coûts des échanges directes entre membres du LME, abaisser ceux des échanges électroniques (d’environ 50%) et modifier son mode de calcul des marges de compensation. VDM, qui représente environ 90% des acteurs de l’industrie des métaux non-ferreux d’Allemagne et d’Autriche, estime que ces propositions nuiraient à l’efficacité des opérations, affecteraient le niveau de liquidités, entraveraient l’octroi de lignes de crédit et augmenteraient les coûts d’opération sur le métal...</w:t>
      </w:r>
    </w:p>
    <w:p w14:paraId="20C37D04" w14:textId="77777777" w:rsidR="00BF1F6A" w:rsidRDefault="00BF1F6A"/>
    <w:sectPr w:rsidR="00BF1F6A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5F"/>
    <w:rsid w:val="000F156F"/>
    <w:rsid w:val="0032665F"/>
    <w:rsid w:val="006F3CC4"/>
    <w:rsid w:val="00B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D30C6"/>
  <w15:chartTrackingRefBased/>
  <w15:docId w15:val="{BD6A5FF9-CB04-A74C-8F3C-E5B56F81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2665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266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665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2665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3266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6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2021-03-03T08:08:00Z</dcterms:created>
  <dcterms:modified xsi:type="dcterms:W3CDTF">2021-03-03T08:09:00Z</dcterms:modified>
</cp:coreProperties>
</file>